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RONPA0819ZPB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Rădița - Mânzu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Layout w:type="fixed"/>
        <w:tblLook w:val="0400"/>
      </w:tblPr>
      <w:tblGrid>
        <w:gridCol w:w="4500"/>
        <w:gridCol w:w="4500"/>
        <w:tblGridChange w:id="0">
          <w:tblGrid>
            <w:gridCol w:w="4500"/>
            <w:gridCol w:w="4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Pădurilor, Adresa: Bd. Libertății 12, Sector 5, București, România,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Layout w:type="fixed"/>
        <w:tblLook w:val="0400"/>
      </w:tblPr>
      <w:tblGrid>
        <w:gridCol w:w="4466"/>
        <w:gridCol w:w="4534"/>
        <w:tblGridChange w:id="0">
          <w:tblGrid>
            <w:gridCol w:w="4466"/>
            <w:gridCol w:w="45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4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80,18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98,20%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400"/>
      </w:tblPr>
      <w:tblGrid>
        <w:gridCol w:w="3164"/>
        <w:gridCol w:w="445"/>
        <w:gridCol w:w="5391"/>
        <w:tblGridChange w:id="0">
          <w:tblGrid>
            <w:gridCol w:w="3164"/>
            <w:gridCol w:w="445"/>
            <w:gridCol w:w="53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RO41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Sud-Vest Oltenia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Vâlcea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400"/>
      </w:tblPr>
      <w:tblGrid>
        <w:gridCol w:w="2935"/>
        <w:gridCol w:w="47"/>
        <w:gridCol w:w="3008"/>
        <w:gridCol w:w="47"/>
        <w:gridCol w:w="2963"/>
        <w:tblGridChange w:id="0">
          <w:tblGrid>
            <w:gridCol w:w="2935"/>
            <w:gridCol w:w="47"/>
            <w:gridCol w:w="3008"/>
            <w:gridCol w:w="47"/>
            <w:gridCol w:w="296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Alpină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80,18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Legea nr. 5/2000 privind aprobarea Planului de amenajare a teritoriului național - Secțiunea a III-a - zone protejate, cu modificările și completările ulterioare - rezervația naturală RONPA0819 Rădița – Mânzu.</w:t>
      </w:r>
    </w:p>
    <w:p w:rsidR="00000000" w:rsidDel="00000000" w:rsidP="00000000" w:rsidRDefault="00000000" w:rsidRPr="00000000" w14:paraId="0000007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30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:rsidR="00000000" w:rsidDel="00000000" w:rsidP="00000000" w:rsidRDefault="00000000" w:rsidRPr="00000000" w14:paraId="0000007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line="259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7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9000.0" w:type="dxa"/>
        <w:jc w:val="left"/>
        <w:tblLayout w:type="fixed"/>
        <w:tblLook w:val="0400"/>
      </w:tblPr>
      <w:tblGrid>
        <w:gridCol w:w="4448"/>
        <w:gridCol w:w="4552"/>
        <w:tblGridChange w:id="0">
          <w:tblGrid>
            <w:gridCol w:w="4448"/>
            <w:gridCol w:w="455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D">
            <w:pPr>
              <w:spacing w:after="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9110 Păduri de fag de tip Luzulo-Fagetum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Amfibieni:</w:t>
            </w:r>
          </w:p>
          <w:p w:rsidR="00000000" w:rsidDel="00000000" w:rsidP="00000000" w:rsidRDefault="00000000" w:rsidRPr="00000000" w14:paraId="00000080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1213 Rana temporaria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1166 Triturus cristatus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Reptile:</w:t>
            </w:r>
          </w:p>
          <w:p w:rsidR="00000000" w:rsidDel="00000000" w:rsidP="00000000" w:rsidRDefault="00000000" w:rsidRPr="00000000" w14:paraId="00000082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1283 Coronella austriaca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1261 Lacerta agilis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1256 Podarcis muralis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6091 Zamenis longissimus</w:t>
            </w:r>
          </w:p>
          <w:p w:rsidR="00000000" w:rsidDel="00000000" w:rsidP="00000000" w:rsidRDefault="00000000" w:rsidRPr="00000000" w14:paraId="00000083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Chiroptere:</w:t>
            </w:r>
          </w:p>
          <w:p w:rsidR="00000000" w:rsidDel="00000000" w:rsidP="00000000" w:rsidRDefault="00000000" w:rsidRPr="00000000" w14:paraId="00000084">
            <w:pPr>
              <w:spacing w:after="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1308 Barbastella barbastellus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1327 Eptesicus serotinus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1310 Miniopterus schreibersii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1323 Myotis bechsteinii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1307 Myotis blythii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1320 Myotis brandtii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1314 Myotis daubentonii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1324 Myotis myotis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1312 Nyctalus noctula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1309 Pipistrellus pipistrellus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5009 Pipistrellus pygmaeus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1326 Plecotus auritus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1304 Rhinolophus ferrumequinum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1303 Rhinolophus hipposideros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1332 Vespertilio murinus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Zonă importantă pentru biodiversitate, cu ecosisteme de păduri temperate europene de fag, de tip T1, ce oferă habitat pentru multiple specii de amfibieni, reptile și chiroptere de interes comunitar.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 Gestionarea și utilizarea pădurii şi plantaţiei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B02.01.02 Replantarea pădurii (arbori nenativi)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A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B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privată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Chirita C., Vlad I., Paunescu C., Patrascoiu  N., Rosu  C., Iancu I. 1977  “Statiuni forestiere”, Vol. II, , Ed. Academiei R.S.R., Bucuresti,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Doniţă, N., Ceianu, I., Purcelean, Ş., &amp; Beldie, A. (1977). Ecologie forestieră:(cu elemente de ecologie generală). Ceres.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Gafta D. &amp; Mountford J.O. 2008- “Manual de interpretare a habitatelor Natura 2000 din Romania”, Ed. RISOPRINT, editor M.M.D.D.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N. Donita, A. Popescu, Pauca- Comanescu M., Mihailescu S., 2005 - Habitatele din Romania” – Biris I., Editura Tehnica Silvica, Bucuresti,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Proiectul ”Identificarea zonelor potențiale de non intervenție/ protecție strictă în habitate naturale terestre și marine în vederea punerii în aplicare a Strategiei europene privind biodiversitatea pentru perioada 2021-2030”. 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Consultările publice au fost realizate la: 11 noiembrie 2024 – Râmnicu Vâlcea, 27-29 mai 2025 - DS Vâlcea. Pe lângă consultarea organizată la nivel județean, au fost realizate și consultări la nivelul unităților administrativ-teritoriale (UAT) care au solicitat discuții suplimentare, după cum urmează: 11 februarie 2025 – UAT Horezu, jud. Vâlcea, 27 februarie 2025 – corespondență UAT Horezu, 28 februarie 2025 – corespondență UAT Brezoi, 03 martie 2025 – corespondență UAT Voineasa, jud. Vâlcea, 20 martie 2025 – UAT Mălaia și UAT Voineasa, jud. Vâlcea, 02 iunie 2025 – UAT Câineni, jud. Vâlcea.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Ulterior, în cadrul procesului de consultare extins la nivel național, au avut loc consultări suplimentară online în data de 16 decembrie 2025 cu participarea factorilor interesați relevanți din județul Vâlcea.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</w:p>
    <w:p w:rsidR="00000000" w:rsidDel="00000000" w:rsidP="00000000" w:rsidRDefault="00000000" w:rsidRPr="00000000" w14:paraId="000000AB">
      <w:pPr>
        <w:spacing w:line="256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C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467886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1+1HWYPE9K7s19rMAoETUVjdRw==">CgMxLjA4AHIhMUs1TTNyUGhjNERCTnBRZWpHamtkUUU3OG80bE9GU1FW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